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26707CB0" w:rsidR="00311D7E" w:rsidRPr="00311D7E" w:rsidRDefault="009D142F" w:rsidP="006463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63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31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заключенн</w:t>
            </w:r>
            <w:r w:rsidR="00C52F3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179AEEB9" w:rsidR="004A12F1" w:rsidRPr="008D7075" w:rsidRDefault="008D3198" w:rsidP="00646379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646379">
              <w:t>5</w:t>
            </w:r>
            <w:r w:rsidR="008D7075">
              <w:t>.</w:t>
            </w:r>
            <w:r w:rsidR="00646379">
              <w:t>0</w:t>
            </w:r>
            <w:r w:rsidR="00401888">
              <w:t>1</w:t>
            </w:r>
            <w:r w:rsidR="008D7075">
              <w:t>.202</w:t>
            </w:r>
            <w:r w:rsidR="00646379">
              <w:t>4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72B81E0D" w:rsidR="004A12F1" w:rsidRPr="0072478F" w:rsidRDefault="0072478F" w:rsidP="00646379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2478F">
              <w:rPr>
                <w:sz w:val="24"/>
                <w:szCs w:val="24"/>
              </w:rPr>
              <w:t>В</w:t>
            </w:r>
            <w:r w:rsidRPr="0072478F">
              <w:rPr>
                <w:color w:val="2C2D2E"/>
                <w:sz w:val="24"/>
                <w:szCs w:val="24"/>
                <w:shd w:val="clear" w:color="auto" w:fill="FFFFFF"/>
              </w:rPr>
              <w:t xml:space="preserve"> части </w:t>
            </w:r>
            <w:r w:rsidR="00646379" w:rsidRPr="00646379">
              <w:rPr>
                <w:iCs/>
                <w:sz w:val="24"/>
                <w:szCs w:val="24"/>
              </w:rPr>
              <w:t>дополн</w:t>
            </w:r>
            <w:r w:rsidR="00646379">
              <w:rPr>
                <w:iCs/>
                <w:sz w:val="24"/>
                <w:szCs w:val="24"/>
              </w:rPr>
              <w:t>ения</w:t>
            </w:r>
            <w:r w:rsidR="00646379" w:rsidRPr="00646379">
              <w:rPr>
                <w:iCs/>
                <w:sz w:val="24"/>
                <w:szCs w:val="24"/>
              </w:rPr>
              <w:t xml:space="preserve"> промежуточны</w:t>
            </w:r>
            <w:r w:rsidR="00646379">
              <w:rPr>
                <w:iCs/>
                <w:sz w:val="24"/>
                <w:szCs w:val="24"/>
              </w:rPr>
              <w:t>х</w:t>
            </w:r>
            <w:r w:rsidR="00646379" w:rsidRPr="00646379">
              <w:rPr>
                <w:iCs/>
                <w:sz w:val="24"/>
                <w:szCs w:val="24"/>
              </w:rPr>
              <w:t xml:space="preserve"> срок</w:t>
            </w:r>
            <w:r w:rsidR="00646379">
              <w:rPr>
                <w:iCs/>
                <w:sz w:val="24"/>
                <w:szCs w:val="24"/>
              </w:rPr>
              <w:t>ов</w:t>
            </w:r>
            <w:r w:rsidR="00646379" w:rsidRPr="00646379">
              <w:rPr>
                <w:iCs/>
                <w:sz w:val="24"/>
                <w:szCs w:val="24"/>
              </w:rPr>
              <w:t xml:space="preserve"> погашения кредитного договора оборачиваемостью 60 (шестьдесят) дней</w:t>
            </w:r>
            <w:r w:rsidR="00646379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646379">
              <w:rPr>
                <w:iCs/>
                <w:sz w:val="24"/>
                <w:szCs w:val="24"/>
              </w:rPr>
              <w:t xml:space="preserve">и </w:t>
            </w:r>
            <w:r w:rsidR="00646379" w:rsidRPr="0072478F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646379" w:rsidRPr="0072478F">
              <w:rPr>
                <w:color w:val="2C2D2E"/>
                <w:sz w:val="24"/>
                <w:szCs w:val="24"/>
                <w:shd w:val="clear" w:color="auto" w:fill="FFFFFF"/>
              </w:rPr>
              <w:t>изм</w:t>
            </w:r>
            <w:bookmarkStart w:id="0" w:name="_GoBack"/>
            <w:bookmarkEnd w:id="0"/>
            <w:r w:rsidR="00646379" w:rsidRPr="0072478F">
              <w:rPr>
                <w:color w:val="2C2D2E"/>
                <w:sz w:val="24"/>
                <w:szCs w:val="24"/>
                <w:shd w:val="clear" w:color="auto" w:fill="FFFFFF"/>
              </w:rPr>
              <w:t>енения</w:t>
            </w:r>
            <w:proofErr w:type="gramEnd"/>
            <w:r w:rsidR="00646379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72478F">
              <w:rPr>
                <w:sz w:val="24"/>
                <w:szCs w:val="24"/>
              </w:rPr>
              <w:t xml:space="preserve">процентной ставки за пользование кредитом по кредитному договору </w:t>
            </w:r>
            <w:r w:rsidR="00646379">
              <w:rPr>
                <w:sz w:val="24"/>
                <w:szCs w:val="24"/>
              </w:rPr>
              <w:t xml:space="preserve">                                         </w:t>
            </w:r>
            <w:r w:rsidRPr="0072478F">
              <w:rPr>
                <w:sz w:val="24"/>
                <w:szCs w:val="24"/>
              </w:rPr>
              <w:t>от 28.07.2022 №149/2022-200, заключенным с ОАО «</w:t>
            </w:r>
            <w:proofErr w:type="spellStart"/>
            <w:r w:rsidRPr="0072478F">
              <w:rPr>
                <w:sz w:val="24"/>
                <w:szCs w:val="24"/>
              </w:rPr>
              <w:t>Белинвестбанк</w:t>
            </w:r>
            <w:proofErr w:type="spellEnd"/>
            <w:r w:rsidRPr="0072478F">
              <w:rPr>
                <w:sz w:val="24"/>
                <w:szCs w:val="24"/>
              </w:rPr>
              <w:t>».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="005D02B4" w:rsidRPr="00146944">
              <w:rPr>
                <w:iCs/>
              </w:rPr>
              <w:t>600</w:t>
            </w:r>
            <w:r w:rsidR="009D142F" w:rsidRPr="00146944">
              <w:rPr>
                <w:iCs/>
              </w:rPr>
              <w:t xml:space="preserve"> 000</w:t>
            </w:r>
            <w:r w:rsidR="0000640F" w:rsidRPr="00146944">
              <w:rPr>
                <w:iCs/>
              </w:rPr>
              <w:t xml:space="preserve"> рублей</w:t>
            </w:r>
          </w:p>
          <w:p w14:paraId="7DE04C4B" w14:textId="74F87BE6" w:rsidR="009D142F" w:rsidRPr="00146944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Pr="00146944">
              <w:rPr>
                <w:iCs/>
              </w:rPr>
              <w:t>707</w:t>
            </w:r>
            <w:r w:rsidR="009D142F" w:rsidRPr="00146944">
              <w:rPr>
                <w:iCs/>
              </w:rPr>
              <w:t xml:space="preserve"> 000 рублей</w:t>
            </w:r>
          </w:p>
          <w:p w14:paraId="1F886090" w14:textId="13FED39B" w:rsidR="004A12F1" w:rsidRPr="00146944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146944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1469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 w:rsidRPr="0014694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146944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9245E"/>
    <w:rsid w:val="004A12F1"/>
    <w:rsid w:val="004D6095"/>
    <w:rsid w:val="004E7BF6"/>
    <w:rsid w:val="0055768C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B3A4F"/>
    <w:rsid w:val="006E0C66"/>
    <w:rsid w:val="0072478F"/>
    <w:rsid w:val="00733477"/>
    <w:rsid w:val="00757CA7"/>
    <w:rsid w:val="00797C9E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2023-08-17T08:05:00Z</cp:lastPrinted>
  <dcterms:created xsi:type="dcterms:W3CDTF">2024-01-15T10:36:00Z</dcterms:created>
  <dcterms:modified xsi:type="dcterms:W3CDTF">2024-01-15T10:41:00Z</dcterms:modified>
</cp:coreProperties>
</file>